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CellMar>
          <w:left w:w="0" w:type="dxa"/>
          <w:right w:w="0" w:type="dxa"/>
        </w:tblCellMar>
        <w:tblLook w:val="04A0"/>
      </w:tblPr>
      <w:tblGrid>
        <w:gridCol w:w="3125"/>
        <w:gridCol w:w="5522"/>
      </w:tblGrid>
      <w:tr w:rsidR="00AA0515" w:rsidRPr="00AA0515" w:rsidTr="00AA0515">
        <w:trPr>
          <w:trHeight w:val="848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515" w:rsidRPr="00AA0515" w:rsidRDefault="00AA0515" w:rsidP="00A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ỦY BAN NHÂN DÂN</w:t>
            </w:r>
          </w:p>
          <w:p w:rsidR="00AA0515" w:rsidRPr="00AA0515" w:rsidRDefault="00AA0515" w:rsidP="00A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PHƯỜNG KHƯƠNG MAI</w:t>
            </w:r>
          </w:p>
          <w:p w:rsidR="00AA0515" w:rsidRPr="00AA0515" w:rsidRDefault="00AA0515" w:rsidP="00A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——————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515" w:rsidRPr="00AA0515" w:rsidRDefault="00AA0515" w:rsidP="00A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 NAM</w:t>
            </w:r>
          </w:p>
          <w:p w:rsidR="00AA0515" w:rsidRPr="00AA0515" w:rsidRDefault="00AA0515" w:rsidP="00A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AA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AA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AA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AA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AA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AA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</w:p>
          <w:p w:rsidR="00AA0515" w:rsidRPr="00AA0515" w:rsidRDefault="00AA0515" w:rsidP="00A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————————————</w:t>
            </w:r>
          </w:p>
        </w:tc>
      </w:tr>
      <w:tr w:rsidR="00AA0515" w:rsidRPr="00AA0515" w:rsidTr="00AA0515">
        <w:trPr>
          <w:trHeight w:val="272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515" w:rsidRPr="00AA0515" w:rsidRDefault="00AA0515" w:rsidP="00A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515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AA0515">
              <w:rPr>
                <w:rFonts w:ascii="Times New Roman" w:eastAsia="Times New Roman" w:hAnsi="Times New Roman" w:cs="Times New Roman"/>
                <w:sz w:val="24"/>
                <w:szCs w:val="24"/>
              </w:rPr>
              <w:t>: 47/KH-UBND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515" w:rsidRPr="00AA0515" w:rsidRDefault="00AA0515" w:rsidP="00A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Khương</w:t>
            </w:r>
            <w:proofErr w:type="spellEnd"/>
            <w:r w:rsidRPr="00AA0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Mai, </w:t>
            </w:r>
            <w:proofErr w:type="spellStart"/>
            <w:r w:rsidRPr="00AA0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AA0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19 </w:t>
            </w:r>
            <w:proofErr w:type="spellStart"/>
            <w:r w:rsidRPr="00AA0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AA0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4 </w:t>
            </w:r>
            <w:proofErr w:type="spellStart"/>
            <w:r w:rsidRPr="00AA0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AA05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2010</w:t>
            </w:r>
          </w:p>
        </w:tc>
      </w:tr>
    </w:tbl>
    <w:p w:rsidR="00AA0515" w:rsidRPr="00AA0515" w:rsidRDefault="00AA0515" w:rsidP="00AA051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KẾ HOẠCH</w:t>
      </w:r>
    </w:p>
    <w:p w:rsidR="00AA0515" w:rsidRPr="00AA0515" w:rsidRDefault="00AA0515" w:rsidP="00AA051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tác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tiếp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dân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và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giải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quyết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khiếu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nại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tố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cáo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năm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2010</w:t>
      </w:r>
    </w:p>
    <w:p w:rsidR="00AA0515" w:rsidRPr="00AA0515" w:rsidRDefault="00AA0515" w:rsidP="00AA0515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kê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hoạch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13/2010/QĐ-UBND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01/4/2010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UBND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phố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khiếu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nại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tố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thuộc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phố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hoạch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UBND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quận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Thanh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Xuân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UBND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phường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Kh</w:t>
      </w:r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ương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Mai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xây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dựng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hoạch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triển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khiếu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nại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tố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2010,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AA0515" w:rsidRPr="00AA0515" w:rsidRDefault="00AA0515" w:rsidP="00AA0515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I. MỤC ĐÍCH YÊU CẦU</w:t>
      </w:r>
    </w:p>
    <w:p w:rsidR="00AA0515" w:rsidRPr="00AA0515" w:rsidRDefault="00AA0515" w:rsidP="00AA0515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1.</w:t>
      </w:r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chuyển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biến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mạnh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mẽ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nâng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cao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lực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chất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</w:t>
      </w:r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ư</w:t>
      </w:r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ợng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khiếu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nại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tố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đạt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yêu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cầu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từng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</w:t>
      </w:r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</w:r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ư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ớc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giảm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thiểu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hạn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chế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tình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trạng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cố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tình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khiếu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kéo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dài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khiếu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người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vư</w:t>
      </w:r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ợt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nhằm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góp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giữ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vững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ổn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ninh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trị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trật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tự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đáp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ứng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triển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tế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xã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an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ninh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bàn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phường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2010.</w:t>
      </w:r>
    </w:p>
    <w:p w:rsidR="00AA0515" w:rsidRPr="00AA0515" w:rsidRDefault="00AA0515" w:rsidP="00AA0515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2.</w:t>
      </w:r>
      <w:r w:rsidRPr="00AA0515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tục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đổi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mới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lãnh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đạo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đạo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gắn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ư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cải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cách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chế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đạo</w:t>
      </w:r>
      <w:proofErr w:type="gram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,điều</w:t>
      </w:r>
      <w:proofErr w:type="spellEnd"/>
      <w:proofErr w:type="gram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nhằm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huy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cao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lực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cán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thư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.</w:t>
      </w:r>
    </w:p>
    <w:p w:rsidR="00AA0515" w:rsidRPr="00AA0515" w:rsidRDefault="00AA0515" w:rsidP="00AA0515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II. NỘI DUNG THỰC HIỆN</w:t>
      </w:r>
    </w:p>
    <w:p w:rsidR="00AA0515" w:rsidRPr="00AA0515" w:rsidRDefault="00AA0515" w:rsidP="00AA0515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1.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tác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rà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soát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giải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quyết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các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vụ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khiếu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nại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tố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cáo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tồn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đọng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phức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tạp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</w:rPr>
        <w:t>:</w:t>
      </w:r>
    </w:p>
    <w:p w:rsidR="00AA0515" w:rsidRPr="00AA0515" w:rsidRDefault="00AA0515" w:rsidP="00AA0515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Tô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̉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tiếp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giải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quyết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khiếu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nại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tô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́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cáo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đang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chưa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rồi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như</w:t>
      </w:r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còn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khiếu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tố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kế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hoạch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tiến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</w:rPr>
        <w:t> 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từng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đặc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biệt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tồn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đọng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kéo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dài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A0515" w:rsidRPr="00AA0515" w:rsidRDefault="00AA0515" w:rsidP="00AA0515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khiếu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nại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tố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liên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tôn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giáo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nhạy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cảm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trị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thủ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trư</w:t>
      </w:r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ởng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vị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cần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xem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kỹ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đầy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đủ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thận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trọng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tham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m</w:t>
      </w:r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ưu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lãnh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đạo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UBND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phường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giải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quyết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A0515" w:rsidRPr="00AA0515" w:rsidRDefault="00AA0515" w:rsidP="00AA0515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Phối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hợp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chặt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che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̃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với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các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chức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năng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biện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phù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thế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lực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thù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địch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tử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trị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lợi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dụng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quyền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khiếu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nại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tố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vi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gây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rối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xúc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phạm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chống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ngư</w:t>
      </w:r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ời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tay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thế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lực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thù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địch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phần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tử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trị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chống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phá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Đảng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nư</w:t>
      </w:r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ớc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A0515" w:rsidRPr="00AA0515" w:rsidRDefault="00AA0515" w:rsidP="00AA0515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2.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tác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củng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cố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kiện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toàn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bộ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máy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làm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tác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tiếp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dân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giải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quyết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khiếu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nại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tố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cáo</w:t>
      </w:r>
      <w:proofErr w:type="spellEnd"/>
    </w:p>
    <w:p w:rsidR="00AA0515" w:rsidRPr="00AA0515" w:rsidRDefault="00AA0515" w:rsidP="00AA0515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Bổ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sung,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kiện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Tô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̉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ư</w:t>
      </w:r>
      <w:proofErr w:type="spellEnd"/>
      <w:proofErr w:type="gram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khiếu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nại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tố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nguyện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mối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xử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A0515" w:rsidRPr="00AA0515" w:rsidRDefault="00AA0515" w:rsidP="00AA0515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cán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pháp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thường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trực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Tô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̉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tiếp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của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Phường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có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trách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nhiệm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xử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proofErr w:type="gram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</w:t>
      </w:r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ược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lãnh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đạo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UBND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phư</w:t>
      </w:r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ờng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giao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xét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hàng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cần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tổng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UBND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AA0515" w:rsidRPr="00AA0515" w:rsidRDefault="00AA0515" w:rsidP="00AA0515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niêm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yết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lịch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trang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điện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̉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của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Phường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va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̀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cửa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phòng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tiếp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định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Nghiêm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túc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khiếu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nại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tố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tăng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cư</w:t>
      </w:r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ờng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thư</w:t>
      </w:r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ờng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xuyên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A0515" w:rsidRPr="00AA0515" w:rsidRDefault="00AA0515" w:rsidP="00AA0515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Hàng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tuần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Chủ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tịch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UBND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phường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trực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tiếp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tiếp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va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̀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các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Phó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chu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̉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tịch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tiếp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lịch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tiếp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của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lãnh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đạo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UBND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phường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A0515" w:rsidRPr="00AA0515" w:rsidRDefault="00AA0515" w:rsidP="00AA0515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3.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Tăng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cư</w:t>
      </w:r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oftHyphen/>
        <w:t>ờng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tác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thanh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tra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kiểm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tra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trách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nhiệm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trong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việc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tiếp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dân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giải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quyết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khiếu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nại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tố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cáo</w:t>
      </w:r>
      <w:proofErr w:type="spellEnd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AA0515" w:rsidRPr="00AA0515" w:rsidRDefault="00AA0515" w:rsidP="00AA0515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</w:t>
      </w:r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ường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xuyên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xử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thư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</w:r>
      <w:proofErr w:type="gram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gắn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CCHC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phận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một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cửa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Phư</w:t>
      </w:r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ờng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A0515" w:rsidRPr="00AA0515" w:rsidRDefault="00AA0515" w:rsidP="00AA0515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proofErr w:type="spellStart"/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</w:t>
      </w:r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riển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quán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triệt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khiếu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nại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khiếu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nại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tố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địa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bàn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đồng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thời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nghiêm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túc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kịp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khiếu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nại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lực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pháp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luật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tố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định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A0515" w:rsidRPr="00AA0515" w:rsidRDefault="00AA0515" w:rsidP="00AA0515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 w:rsidRPr="00AA0515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chế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xây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dựng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chế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</w:p>
    <w:p w:rsidR="00AA0515" w:rsidRPr="00AA0515" w:rsidRDefault="00AA0515" w:rsidP="00AA0515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proofErr w:type="gram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proofErr w:type="gram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ước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nhằm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khai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quyết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khiếu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nại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tố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tô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̉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chức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tuyên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truyền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va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̀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tốt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hòa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sở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ở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các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Tô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̉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dân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phô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́.</w:t>
      </w:r>
    </w:p>
    <w:p w:rsidR="00AA0515" w:rsidRPr="00AA0515" w:rsidRDefault="00AA0515" w:rsidP="00AA0515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ủy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ban MTTQ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đoàn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Phư</w:t>
      </w:r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ờng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giám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sát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vi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tham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nhũng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lãng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nhũng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nhiễu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cán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bộ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nhằm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giảm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thiểu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thư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khiếu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nại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tố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AA051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tbl>
      <w:tblPr>
        <w:tblW w:w="0" w:type="auto"/>
        <w:tblInd w:w="-132" w:type="dxa"/>
        <w:tblCellMar>
          <w:left w:w="0" w:type="dxa"/>
          <w:right w:w="0" w:type="dxa"/>
        </w:tblCellMar>
        <w:tblLook w:val="04A0"/>
      </w:tblPr>
      <w:tblGrid>
        <w:gridCol w:w="5489"/>
        <w:gridCol w:w="4219"/>
      </w:tblGrid>
      <w:tr w:rsidR="00AA0515" w:rsidRPr="00AA0515" w:rsidTr="00AA0515">
        <w:trPr>
          <w:trHeight w:val="2660"/>
        </w:trPr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515" w:rsidRPr="00AA0515" w:rsidRDefault="00AA0515" w:rsidP="00AA05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Nơi</w:t>
            </w:r>
            <w:proofErr w:type="spellEnd"/>
            <w:r w:rsidRPr="00AA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r w:rsidRPr="00AA051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A0515" w:rsidRPr="00AA0515" w:rsidRDefault="00AA0515" w:rsidP="00AA05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 xml:space="preserve">-UBND </w:t>
            </w:r>
            <w:proofErr w:type="spellStart"/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>quận</w:t>
            </w:r>
            <w:proofErr w:type="spellEnd"/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>;</w:t>
            </w:r>
          </w:p>
          <w:p w:rsidR="00AA0515" w:rsidRPr="00AA0515" w:rsidRDefault="00AA0515" w:rsidP="00AA05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 xml:space="preserve">- </w:t>
            </w:r>
            <w:proofErr w:type="spellStart"/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>Đảng</w:t>
            </w:r>
            <w:proofErr w:type="spellEnd"/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>ủy</w:t>
            </w:r>
            <w:proofErr w:type="spellEnd"/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 xml:space="preserve"> – HĐND-UBND-UBMTTQ </w:t>
            </w:r>
            <w:proofErr w:type="spellStart"/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>Phường</w:t>
            </w:r>
            <w:proofErr w:type="spellEnd"/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>;</w:t>
            </w:r>
          </w:p>
          <w:p w:rsidR="00AA0515" w:rsidRPr="00AA0515" w:rsidRDefault="00AA0515" w:rsidP="00AA05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 xml:space="preserve">- </w:t>
            </w:r>
            <w:proofErr w:type="spellStart"/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>Các</w:t>
            </w:r>
            <w:proofErr w:type="spellEnd"/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 xml:space="preserve"> đ/c </w:t>
            </w:r>
            <w:proofErr w:type="spellStart"/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>Tô</w:t>
            </w:r>
            <w:proofErr w:type="spellEnd"/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 xml:space="preserve">̉ </w:t>
            </w:r>
            <w:proofErr w:type="spellStart"/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>trưởng</w:t>
            </w:r>
            <w:proofErr w:type="spellEnd"/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>Tô</w:t>
            </w:r>
            <w:proofErr w:type="spellEnd"/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 xml:space="preserve">̉ </w:t>
            </w:r>
            <w:proofErr w:type="spellStart"/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>hòa</w:t>
            </w:r>
            <w:proofErr w:type="spellEnd"/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>giải</w:t>
            </w:r>
            <w:proofErr w:type="spellEnd"/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>Tô</w:t>
            </w:r>
            <w:proofErr w:type="spellEnd"/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 xml:space="preserve">̉ </w:t>
            </w:r>
            <w:proofErr w:type="spellStart"/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>trưởng</w:t>
            </w:r>
            <w:proofErr w:type="spellEnd"/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>dân</w:t>
            </w:r>
            <w:proofErr w:type="spellEnd"/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>phô</w:t>
            </w:r>
            <w:proofErr w:type="spellEnd"/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>́;</w:t>
            </w:r>
          </w:p>
          <w:p w:rsidR="00AA0515" w:rsidRPr="00AA0515" w:rsidRDefault="00AA0515" w:rsidP="00AA05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 xml:space="preserve">- </w:t>
            </w:r>
            <w:proofErr w:type="spellStart"/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>Lưu</w:t>
            </w:r>
            <w:proofErr w:type="spellEnd"/>
            <w:r w:rsidRPr="00AA0515">
              <w:rPr>
                <w:rFonts w:ascii="Times New Roman" w:eastAsia="Times New Roman" w:hAnsi="Times New Roman" w:cs="Times New Roman"/>
                <w:i/>
                <w:iCs/>
              </w:rPr>
              <w:t xml:space="preserve"> VP.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515" w:rsidRPr="00AA0515" w:rsidRDefault="00AA0515" w:rsidP="00AA051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TM. ỦY BAN NHÂN DÂN</w:t>
            </w:r>
          </w:p>
          <w:p w:rsidR="00AA0515" w:rsidRPr="00AA0515" w:rsidRDefault="00AA0515" w:rsidP="00AA051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 TỊCH</w:t>
            </w:r>
          </w:p>
          <w:p w:rsidR="00AA0515" w:rsidRPr="00AA0515" w:rsidRDefault="00AA0515" w:rsidP="00AA051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5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(</w:t>
            </w:r>
            <w:proofErr w:type="spellStart"/>
            <w:r w:rsidRPr="00AA05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đa</w:t>
            </w:r>
            <w:proofErr w:type="spellEnd"/>
            <w:r w:rsidRPr="00AA05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̃ </w:t>
            </w:r>
            <w:proofErr w:type="spellStart"/>
            <w:r w:rsidRPr="00AA05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ky</w:t>
            </w:r>
            <w:proofErr w:type="spellEnd"/>
            <w:r w:rsidRPr="00AA05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́)</w:t>
            </w:r>
          </w:p>
          <w:p w:rsidR="00AA0515" w:rsidRPr="00AA0515" w:rsidRDefault="00AA0515" w:rsidP="00AA051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05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Phạm</w:t>
            </w:r>
            <w:proofErr w:type="spellEnd"/>
            <w:r w:rsidRPr="00AA05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A05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Văn</w:t>
            </w:r>
            <w:proofErr w:type="spellEnd"/>
            <w:r w:rsidRPr="00AA05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A051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Hiện</w:t>
            </w:r>
            <w:proofErr w:type="spellEnd"/>
          </w:p>
        </w:tc>
      </w:tr>
    </w:tbl>
    <w:p w:rsidR="00AB2DA9" w:rsidRPr="00AA0515" w:rsidRDefault="00AB2DA9">
      <w:pPr>
        <w:rPr>
          <w:rFonts w:ascii="Times New Roman" w:hAnsi="Times New Roman" w:cs="Times New Roman"/>
        </w:rPr>
      </w:pPr>
    </w:p>
    <w:sectPr w:rsidR="00AB2DA9" w:rsidRPr="00AA0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0515"/>
    <w:rsid w:val="00AA0515"/>
    <w:rsid w:val="00AB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0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3500B6A1CB5418B7854B2C9170E5F" ma:contentTypeVersion="0" ma:contentTypeDescription="Create a new document." ma:contentTypeScope="" ma:versionID="14daab052c7248cde673ef44f6f358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1b5f35d88f7f6ebfe284b0f73f43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A202EB-F3FD-4DA0-82E7-4C4F2FA61823}"/>
</file>

<file path=customXml/itemProps2.xml><?xml version="1.0" encoding="utf-8"?>
<ds:datastoreItem xmlns:ds="http://schemas.openxmlformats.org/officeDocument/2006/customXml" ds:itemID="{BBB1667E-A30E-4CAC-9B11-E693A9455472}"/>
</file>

<file path=customXml/itemProps3.xml><?xml version="1.0" encoding="utf-8"?>
<ds:datastoreItem xmlns:ds="http://schemas.openxmlformats.org/officeDocument/2006/customXml" ds:itemID="{CE82ABAC-F87B-442A-B9A4-C3A67ACD64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2014-08-06T03:30:00Z</dcterms:created>
  <dcterms:modified xsi:type="dcterms:W3CDTF">2014-08-06T03:31:00Z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0x010100A313500B6A1CB5418B7854B2C9170E5F</vt:lpwstr>
  </property>
  <property fmtid="{D5CDD505-2E9C-101B-9397-08002B2CF9AE}" pid="3" name="Order">
    <vt:r8>9100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